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95F4AF" w14:textId="5B63CA34" w:rsidR="00413C77" w:rsidRDefault="007C7A53" w:rsidP="007C7A53">
      <w:pPr>
        <w:rPr>
          <w:rFonts w:ascii="Arial" w:hAnsi="Arial" w:cs="Arial"/>
          <w:color w:val="000000"/>
          <w:sz w:val="20"/>
        </w:rPr>
      </w:pPr>
      <w:bookmarkStart w:id="0" w:name="G0P0"/>
      <w:bookmarkEnd w:id="0"/>
      <w:r>
        <w:rPr>
          <w:rFonts w:ascii="Arial" w:hAnsi="Arial" w:cs="Arial"/>
          <w:sz w:val="20"/>
        </w:rPr>
        <w:t>i</w:t>
      </w:r>
      <w:r w:rsidR="00413C77">
        <w:rPr>
          <w:rFonts w:ascii="Arial" w:hAnsi="Arial" w:cs="Arial"/>
          <w:color w:val="000000"/>
          <w:sz w:val="20"/>
        </w:rPr>
        <w:t>soMED427P</w:t>
      </w:r>
    </w:p>
    <w:p w14:paraId="4BA5B5D9" w14:textId="77777777" w:rsidR="00413C77" w:rsidRDefault="00413C77" w:rsidP="00413C77">
      <w:pPr>
        <w:spacing w:after="0"/>
        <w:rPr>
          <w:rFonts w:ascii="Arial" w:hAnsi="Arial" w:cs="Arial"/>
          <w:color w:val="000000"/>
          <w:sz w:val="20"/>
        </w:rPr>
      </w:pPr>
    </w:p>
    <w:p w14:paraId="7DF00B0B" w14:textId="77777777" w:rsidR="00413C77" w:rsidRDefault="00413C77" w:rsidP="00413C77">
      <w:pPr>
        <w:spacing w:after="0"/>
        <w:rPr>
          <w:rFonts w:ascii="Arial" w:hAnsi="Arial" w:cs="Arial"/>
          <w:color w:val="000000"/>
          <w:sz w:val="20"/>
        </w:rPr>
      </w:pPr>
      <w:r>
        <w:rPr>
          <w:rFonts w:ascii="Arial" w:hAnsi="Arial" w:cs="Arial"/>
          <w:color w:val="000000"/>
          <w:sz w:val="20"/>
        </w:rPr>
        <w:t>Isolationsüberwachungsgerät isoMED427P</w:t>
      </w:r>
    </w:p>
    <w:p w14:paraId="69BC719E" w14:textId="77777777" w:rsidR="00413C77" w:rsidRDefault="00413C77" w:rsidP="00413C77">
      <w:pPr>
        <w:spacing w:after="0"/>
        <w:rPr>
          <w:rFonts w:ascii="Arial" w:hAnsi="Arial" w:cs="Arial"/>
          <w:color w:val="000000"/>
          <w:sz w:val="20"/>
        </w:rPr>
      </w:pPr>
      <w:r>
        <w:rPr>
          <w:rFonts w:ascii="Arial" w:hAnsi="Arial" w:cs="Arial"/>
          <w:color w:val="000000"/>
          <w:sz w:val="20"/>
        </w:rPr>
        <w:t>Isolationsüberwachungsgerät für den Einsatz in medizinisch genutzten Bereichen mit integriertem Prüfstromgenerator für Einrichtungen zur Isolationsfehlersuche.</w:t>
      </w:r>
    </w:p>
    <w:p w14:paraId="5B2D8723" w14:textId="77777777" w:rsidR="00413C77" w:rsidRDefault="00413C77" w:rsidP="00413C77">
      <w:pPr>
        <w:spacing w:after="0"/>
        <w:rPr>
          <w:rFonts w:ascii="Arial" w:hAnsi="Arial" w:cs="Arial"/>
          <w:color w:val="000000"/>
          <w:sz w:val="20"/>
        </w:rPr>
      </w:pPr>
    </w:p>
    <w:p w14:paraId="0C025805" w14:textId="77777777" w:rsidR="00413C77" w:rsidRDefault="00413C77" w:rsidP="00413C77">
      <w:pPr>
        <w:spacing w:after="0"/>
        <w:rPr>
          <w:rFonts w:ascii="Arial" w:hAnsi="Arial" w:cs="Arial"/>
          <w:color w:val="000000"/>
          <w:sz w:val="20"/>
        </w:rPr>
      </w:pPr>
      <w:r>
        <w:rPr>
          <w:rFonts w:ascii="Arial" w:hAnsi="Arial" w:cs="Arial"/>
          <w:color w:val="000000"/>
          <w:sz w:val="20"/>
        </w:rPr>
        <w:t>Normen:</w:t>
      </w:r>
    </w:p>
    <w:p w14:paraId="415FD0F3" w14:textId="77777777" w:rsidR="00413C77" w:rsidRDefault="00413C77" w:rsidP="00413C77">
      <w:pPr>
        <w:spacing w:after="0"/>
        <w:rPr>
          <w:rFonts w:ascii="Arial" w:hAnsi="Arial" w:cs="Arial"/>
          <w:color w:val="000000"/>
          <w:sz w:val="20"/>
        </w:rPr>
      </w:pPr>
      <w:r>
        <w:rPr>
          <w:rFonts w:ascii="Arial" w:hAnsi="Arial" w:cs="Arial"/>
          <w:color w:val="000000"/>
          <w:sz w:val="20"/>
        </w:rPr>
        <w:t>Die Ausführung entspricht:</w:t>
      </w:r>
    </w:p>
    <w:p w14:paraId="0C6C197D" w14:textId="77777777" w:rsidR="00413C77" w:rsidRDefault="00413C77" w:rsidP="00413C77">
      <w:pPr>
        <w:spacing w:after="0"/>
        <w:rPr>
          <w:rFonts w:ascii="Arial" w:hAnsi="Arial" w:cs="Arial"/>
          <w:color w:val="000000"/>
          <w:sz w:val="20"/>
        </w:rPr>
      </w:pPr>
    </w:p>
    <w:p w14:paraId="4F48952B" w14:textId="77777777" w:rsidR="00413C77" w:rsidRDefault="00413C77" w:rsidP="00413C77">
      <w:pPr>
        <w:spacing w:after="0"/>
        <w:rPr>
          <w:rFonts w:ascii="Arial" w:hAnsi="Arial" w:cs="Arial"/>
          <w:color w:val="000000"/>
          <w:sz w:val="20"/>
        </w:rPr>
      </w:pPr>
      <w:r>
        <w:rPr>
          <w:rFonts w:ascii="Arial" w:hAnsi="Arial" w:cs="Arial"/>
          <w:color w:val="000000"/>
          <w:sz w:val="20"/>
        </w:rPr>
        <w:t xml:space="preserve">VDE 0100-710 (Errichten von Niederspannungsanlagen ... besonderer Art Teil 710: Medizinisch genutzte Bereiche) </w:t>
      </w:r>
    </w:p>
    <w:p w14:paraId="4F88994E" w14:textId="77777777" w:rsidR="00413C77" w:rsidRDefault="00413C77" w:rsidP="00413C77">
      <w:pPr>
        <w:spacing w:after="0"/>
        <w:rPr>
          <w:rFonts w:ascii="Arial" w:hAnsi="Arial" w:cs="Arial"/>
          <w:color w:val="000000"/>
          <w:sz w:val="20"/>
        </w:rPr>
      </w:pPr>
      <w:r>
        <w:rPr>
          <w:rFonts w:ascii="Arial" w:hAnsi="Arial" w:cs="Arial"/>
          <w:color w:val="000000"/>
          <w:sz w:val="20"/>
        </w:rPr>
        <w:t>DIN VDE 0100-710 (VDE 0100-710), IEC 60364-7-710</w:t>
      </w:r>
    </w:p>
    <w:p w14:paraId="0B6C5EFA" w14:textId="77777777" w:rsidR="00413C77" w:rsidRDefault="00413C77" w:rsidP="00413C77">
      <w:pPr>
        <w:spacing w:after="0"/>
        <w:rPr>
          <w:rFonts w:ascii="Arial" w:hAnsi="Arial" w:cs="Arial"/>
          <w:color w:val="000000"/>
          <w:sz w:val="20"/>
        </w:rPr>
      </w:pPr>
      <w:r>
        <w:rPr>
          <w:rFonts w:ascii="Arial" w:hAnsi="Arial" w:cs="Arial"/>
          <w:color w:val="000000"/>
          <w:sz w:val="20"/>
        </w:rPr>
        <w:t>Teil 8: Isolationsüberwachungsgeräte für IT-Systeme</w:t>
      </w:r>
    </w:p>
    <w:p w14:paraId="264943A2" w14:textId="77777777" w:rsidR="00413C77" w:rsidRDefault="00413C77" w:rsidP="00413C77">
      <w:pPr>
        <w:spacing w:after="0"/>
        <w:rPr>
          <w:rFonts w:ascii="Arial" w:hAnsi="Arial" w:cs="Arial"/>
          <w:color w:val="000000"/>
          <w:sz w:val="20"/>
        </w:rPr>
      </w:pPr>
      <w:r>
        <w:rPr>
          <w:rFonts w:ascii="Arial" w:hAnsi="Arial" w:cs="Arial"/>
          <w:color w:val="000000"/>
          <w:sz w:val="20"/>
        </w:rPr>
        <w:t>DIN EN 61557-8 (VDE 0413-8), IEC 61557-8, EN 61557-8</w:t>
      </w:r>
    </w:p>
    <w:p w14:paraId="19D9FB95" w14:textId="77777777" w:rsidR="00413C77" w:rsidRDefault="00413C77" w:rsidP="00413C77">
      <w:pPr>
        <w:spacing w:after="0"/>
        <w:rPr>
          <w:rFonts w:ascii="Arial" w:hAnsi="Arial" w:cs="Arial"/>
          <w:color w:val="000000"/>
          <w:sz w:val="20"/>
        </w:rPr>
      </w:pPr>
      <w:r>
        <w:rPr>
          <w:rFonts w:ascii="Arial" w:hAnsi="Arial" w:cs="Arial"/>
          <w:color w:val="000000"/>
          <w:sz w:val="20"/>
        </w:rPr>
        <w:t>Teil 9: Einrichtungen zur Isolationsfehlersuche</w:t>
      </w:r>
    </w:p>
    <w:p w14:paraId="2D7E7A64" w14:textId="77777777" w:rsidR="00413C77" w:rsidRDefault="00413C77" w:rsidP="00413C77">
      <w:pPr>
        <w:spacing w:after="0"/>
        <w:rPr>
          <w:rFonts w:ascii="Arial" w:hAnsi="Arial" w:cs="Arial"/>
          <w:color w:val="000000"/>
          <w:sz w:val="20"/>
        </w:rPr>
      </w:pPr>
      <w:r>
        <w:rPr>
          <w:rFonts w:ascii="Arial" w:hAnsi="Arial" w:cs="Arial"/>
          <w:color w:val="000000"/>
          <w:sz w:val="20"/>
        </w:rPr>
        <w:t>DIN EN 61557-9 (VDE 0413-9), IEC 61557-9, EN 61557-9</w:t>
      </w:r>
    </w:p>
    <w:p w14:paraId="3134AF3F" w14:textId="77777777" w:rsidR="00413C77" w:rsidRDefault="00413C77" w:rsidP="00413C77">
      <w:pPr>
        <w:spacing w:after="0"/>
        <w:rPr>
          <w:rFonts w:ascii="Arial" w:hAnsi="Arial" w:cs="Arial"/>
          <w:color w:val="000000"/>
          <w:sz w:val="20"/>
        </w:rPr>
      </w:pPr>
    </w:p>
    <w:p w14:paraId="58F38412" w14:textId="77777777" w:rsidR="00413C77" w:rsidRDefault="00413C77" w:rsidP="00413C77">
      <w:pPr>
        <w:spacing w:after="0"/>
        <w:rPr>
          <w:rFonts w:ascii="Arial" w:hAnsi="Arial" w:cs="Arial"/>
          <w:color w:val="000000"/>
          <w:sz w:val="20"/>
        </w:rPr>
      </w:pPr>
      <w:r>
        <w:rPr>
          <w:rFonts w:ascii="Arial" w:hAnsi="Arial" w:cs="Arial"/>
          <w:color w:val="000000"/>
          <w:sz w:val="20"/>
        </w:rPr>
        <w:t>IT-System-Überwachung nach 0100-710</w:t>
      </w:r>
    </w:p>
    <w:p w14:paraId="5B1010D2" w14:textId="77777777" w:rsidR="00413C77" w:rsidRDefault="00413C77" w:rsidP="00413C77">
      <w:pPr>
        <w:spacing w:after="0"/>
        <w:rPr>
          <w:rFonts w:ascii="Arial" w:hAnsi="Arial" w:cs="Arial"/>
          <w:color w:val="000000"/>
          <w:sz w:val="20"/>
        </w:rPr>
      </w:pPr>
      <w:r>
        <w:rPr>
          <w:rFonts w:ascii="Arial" w:hAnsi="Arial" w:cs="Arial"/>
          <w:color w:val="000000"/>
          <w:sz w:val="20"/>
        </w:rPr>
        <w:t>Funktion der IT-System-Überwachung</w:t>
      </w:r>
    </w:p>
    <w:p w14:paraId="3B925DA9" w14:textId="77777777" w:rsidR="00413C77" w:rsidRDefault="00413C77" w:rsidP="00413C77">
      <w:pPr>
        <w:spacing w:after="0"/>
        <w:rPr>
          <w:rFonts w:ascii="Arial" w:hAnsi="Arial" w:cs="Arial"/>
          <w:color w:val="000000"/>
          <w:sz w:val="20"/>
        </w:rPr>
      </w:pPr>
      <w:r>
        <w:rPr>
          <w:rFonts w:ascii="Arial" w:hAnsi="Arial" w:cs="Arial"/>
          <w:color w:val="000000"/>
          <w:sz w:val="20"/>
        </w:rPr>
        <w:t>Isolationsüberwachung mittels AMP-Messverfahren, unempfindlich gegen Beeinflussung durch Gleichstromanteile z.B. von elektronischen Geräten. Automatische Anpassung an die Netzableitkapazität. Laststromüberwachung mittels Messstromwandler durch Effektivwertmessung (</w:t>
      </w:r>
      <w:proofErr w:type="spellStart"/>
      <w:r>
        <w:rPr>
          <w:rFonts w:ascii="Arial" w:hAnsi="Arial" w:cs="Arial"/>
          <w:color w:val="000000"/>
          <w:sz w:val="20"/>
        </w:rPr>
        <w:t>true</w:t>
      </w:r>
      <w:proofErr w:type="spellEnd"/>
      <w:r>
        <w:rPr>
          <w:rFonts w:ascii="Arial" w:hAnsi="Arial" w:cs="Arial"/>
          <w:color w:val="000000"/>
          <w:sz w:val="20"/>
        </w:rPr>
        <w:t xml:space="preserve"> RMS). Trafotemperatur-Überwachung mittels Reihenschaltung aus PTC-Widerständen in den Trafowicklungen. Meldung am Gerät, über BMS-Bus und über Meldekontakt bei Unterschreiten des einstellbaren Ansprechwertes für den Isolationswiderstand und bei Überschreiten der zulässigen Werte für Transformatorlast oder Transformatortemperatur und bei Gerätefehler. Prüftaste zur Prüfung der Überwachungsfunktionen durch Fehlersimulation. Isolationsfehlersuche erfolgt in Verbindung mit Isolationsfehlersuchgeräten der Serie EDS… und den entsprechenden Messstromwandlern. Der integrierte Prüfstromgenerator generiert periodische Prüfstromsignale mittels der im Netz vorhandenen Spannung, deren Größe von dem vorhandenen Isolationsfehler bzw. der Netzspannung abhängig ist, sie aber auf max. 1 mA begrenzt. Der Start der Isolationsfehlersuche erfolgt automatisch nach Unterschreiten des Ansprechwertes für den Isolationsfehler. </w:t>
      </w:r>
    </w:p>
    <w:p w14:paraId="583F2419" w14:textId="77777777" w:rsidR="00413C77" w:rsidRDefault="00413C77" w:rsidP="00413C77">
      <w:pPr>
        <w:spacing w:after="0"/>
        <w:rPr>
          <w:rFonts w:ascii="Arial" w:hAnsi="Arial" w:cs="Arial"/>
          <w:color w:val="000000"/>
          <w:sz w:val="20"/>
        </w:rPr>
      </w:pPr>
    </w:p>
    <w:p w14:paraId="2E77F729" w14:textId="77777777" w:rsidR="00413C77" w:rsidRDefault="00413C77" w:rsidP="00413C77">
      <w:pPr>
        <w:spacing w:after="0"/>
        <w:rPr>
          <w:rFonts w:ascii="Arial" w:hAnsi="Arial" w:cs="Arial"/>
          <w:color w:val="000000"/>
          <w:sz w:val="20"/>
        </w:rPr>
      </w:pPr>
      <w:r>
        <w:rPr>
          <w:rFonts w:ascii="Arial" w:hAnsi="Arial" w:cs="Arial"/>
          <w:color w:val="000000"/>
          <w:sz w:val="20"/>
        </w:rPr>
        <w:t>Nennspannung:</w:t>
      </w:r>
    </w:p>
    <w:p w14:paraId="16F38E21" w14:textId="77777777" w:rsidR="00413C77" w:rsidRDefault="00413C77" w:rsidP="00413C77">
      <w:pPr>
        <w:spacing w:after="0"/>
        <w:rPr>
          <w:rFonts w:ascii="Arial" w:hAnsi="Arial" w:cs="Arial"/>
          <w:color w:val="000000"/>
          <w:sz w:val="20"/>
        </w:rPr>
      </w:pPr>
      <w:r>
        <w:rPr>
          <w:rFonts w:ascii="Arial" w:hAnsi="Arial" w:cs="Arial"/>
          <w:color w:val="000000"/>
          <w:sz w:val="20"/>
        </w:rPr>
        <w:t>AC 70…264 V, 42…460 Hz</w:t>
      </w:r>
    </w:p>
    <w:p w14:paraId="593AF1B1" w14:textId="77777777" w:rsidR="00413C77" w:rsidRDefault="00413C77" w:rsidP="00413C77">
      <w:pPr>
        <w:spacing w:after="0"/>
        <w:rPr>
          <w:rFonts w:ascii="Arial" w:hAnsi="Arial" w:cs="Arial"/>
          <w:color w:val="000000"/>
          <w:sz w:val="20"/>
        </w:rPr>
      </w:pPr>
    </w:p>
    <w:p w14:paraId="325015B3" w14:textId="77777777" w:rsidR="00413C77" w:rsidRDefault="00413C77" w:rsidP="00413C77">
      <w:pPr>
        <w:spacing w:after="0"/>
        <w:rPr>
          <w:rFonts w:ascii="Arial" w:hAnsi="Arial" w:cs="Arial"/>
          <w:color w:val="000000"/>
          <w:sz w:val="20"/>
        </w:rPr>
      </w:pPr>
      <w:r>
        <w:rPr>
          <w:rFonts w:ascii="Arial" w:hAnsi="Arial" w:cs="Arial"/>
          <w:color w:val="000000"/>
          <w:sz w:val="20"/>
        </w:rPr>
        <w:t>Bedienelemente:</w:t>
      </w:r>
    </w:p>
    <w:p w14:paraId="271993FA" w14:textId="77777777" w:rsidR="00413C77" w:rsidRDefault="00413C77" w:rsidP="00413C77">
      <w:pPr>
        <w:spacing w:after="0"/>
        <w:rPr>
          <w:rFonts w:ascii="Arial" w:hAnsi="Arial" w:cs="Arial"/>
          <w:color w:val="000000"/>
          <w:sz w:val="20"/>
        </w:rPr>
      </w:pPr>
      <w:r>
        <w:rPr>
          <w:rFonts w:ascii="Arial" w:hAnsi="Arial" w:cs="Arial"/>
          <w:color w:val="000000"/>
          <w:sz w:val="20"/>
        </w:rPr>
        <w:t>Prüftaste int./ext., Menütasten</w:t>
      </w:r>
    </w:p>
    <w:p w14:paraId="3513E9A3" w14:textId="77777777" w:rsidR="00413C77" w:rsidRDefault="00413C77" w:rsidP="00413C77">
      <w:pPr>
        <w:spacing w:after="0"/>
        <w:rPr>
          <w:rFonts w:ascii="Arial" w:hAnsi="Arial" w:cs="Arial"/>
          <w:color w:val="000000"/>
          <w:sz w:val="20"/>
        </w:rPr>
      </w:pPr>
    </w:p>
    <w:p w14:paraId="366EAAE6" w14:textId="77777777" w:rsidR="00413C77" w:rsidRDefault="00413C77" w:rsidP="00413C77">
      <w:pPr>
        <w:spacing w:after="0"/>
        <w:rPr>
          <w:rFonts w:ascii="Arial" w:hAnsi="Arial" w:cs="Arial"/>
          <w:color w:val="000000"/>
          <w:sz w:val="20"/>
        </w:rPr>
      </w:pPr>
      <w:r>
        <w:rPr>
          <w:rFonts w:ascii="Arial" w:hAnsi="Arial" w:cs="Arial"/>
          <w:color w:val="000000"/>
          <w:sz w:val="20"/>
        </w:rPr>
        <w:t>Anzeigen:</w:t>
      </w:r>
    </w:p>
    <w:p w14:paraId="446AC163" w14:textId="77777777" w:rsidR="00413C77" w:rsidRDefault="00413C77" w:rsidP="00413C77">
      <w:pPr>
        <w:spacing w:after="0"/>
        <w:rPr>
          <w:rFonts w:ascii="Arial" w:hAnsi="Arial" w:cs="Arial"/>
          <w:color w:val="000000"/>
          <w:sz w:val="20"/>
        </w:rPr>
      </w:pPr>
      <w:r>
        <w:rPr>
          <w:rFonts w:ascii="Arial" w:hAnsi="Arial" w:cs="Arial"/>
          <w:color w:val="000000"/>
          <w:sz w:val="20"/>
        </w:rPr>
        <w:t>LCD, Melde-LEDs für Alarm</w:t>
      </w:r>
    </w:p>
    <w:p w14:paraId="150A68F6" w14:textId="77777777" w:rsidR="00413C77" w:rsidRDefault="00413C77" w:rsidP="00413C77">
      <w:pPr>
        <w:spacing w:after="0"/>
        <w:rPr>
          <w:rFonts w:ascii="Arial" w:hAnsi="Arial" w:cs="Arial"/>
          <w:color w:val="000000"/>
          <w:sz w:val="20"/>
        </w:rPr>
      </w:pPr>
    </w:p>
    <w:p w14:paraId="27143F04" w14:textId="77777777" w:rsidR="00413C77" w:rsidRDefault="00413C77" w:rsidP="00413C77">
      <w:pPr>
        <w:spacing w:after="0"/>
        <w:rPr>
          <w:rFonts w:ascii="Arial" w:hAnsi="Arial" w:cs="Arial"/>
          <w:color w:val="000000"/>
          <w:sz w:val="20"/>
        </w:rPr>
      </w:pPr>
      <w:r>
        <w:rPr>
          <w:rFonts w:ascii="Arial" w:hAnsi="Arial" w:cs="Arial"/>
          <w:color w:val="000000"/>
          <w:sz w:val="20"/>
        </w:rPr>
        <w:t>Schnittstelle:</w:t>
      </w:r>
    </w:p>
    <w:p w14:paraId="16E04663" w14:textId="77777777" w:rsidR="00413C77" w:rsidRDefault="00413C77" w:rsidP="00413C77">
      <w:pPr>
        <w:spacing w:after="0"/>
        <w:rPr>
          <w:rFonts w:ascii="Arial" w:hAnsi="Arial" w:cs="Arial"/>
          <w:color w:val="000000"/>
          <w:sz w:val="20"/>
        </w:rPr>
      </w:pPr>
      <w:r>
        <w:rPr>
          <w:rFonts w:ascii="Arial" w:hAnsi="Arial" w:cs="Arial"/>
          <w:color w:val="000000"/>
          <w:sz w:val="20"/>
        </w:rPr>
        <w:t>RS-485 mit BMS-Protokoll, Busadresse 3…90</w:t>
      </w:r>
    </w:p>
    <w:p w14:paraId="4D4AE675" w14:textId="77777777" w:rsidR="00413C77" w:rsidRDefault="00413C77" w:rsidP="00413C77">
      <w:pPr>
        <w:spacing w:after="0"/>
        <w:rPr>
          <w:rFonts w:ascii="Arial" w:hAnsi="Arial" w:cs="Arial"/>
          <w:color w:val="000000"/>
          <w:sz w:val="20"/>
        </w:rPr>
      </w:pPr>
      <w:r>
        <w:br w:type="page"/>
      </w:r>
      <w:r>
        <w:rPr>
          <w:rFonts w:ascii="Arial" w:hAnsi="Arial" w:cs="Arial"/>
          <w:color w:val="000000"/>
          <w:sz w:val="20"/>
        </w:rPr>
        <w:lastRenderedPageBreak/>
        <w:t xml:space="preserve">Funktion </w:t>
      </w:r>
      <w:proofErr w:type="spellStart"/>
      <w:r>
        <w:rPr>
          <w:rFonts w:ascii="Arial" w:hAnsi="Arial" w:cs="Arial"/>
          <w:color w:val="000000"/>
          <w:sz w:val="20"/>
        </w:rPr>
        <w:t>Isometer</w:t>
      </w:r>
      <w:proofErr w:type="spellEnd"/>
    </w:p>
    <w:p w14:paraId="0CBF57FB" w14:textId="77777777" w:rsidR="00413C77" w:rsidRDefault="00413C77" w:rsidP="00413C77">
      <w:pPr>
        <w:spacing w:after="0"/>
        <w:rPr>
          <w:rFonts w:ascii="Arial" w:hAnsi="Arial" w:cs="Arial"/>
          <w:color w:val="000000"/>
          <w:sz w:val="20"/>
        </w:rPr>
      </w:pPr>
      <w:r>
        <w:rPr>
          <w:rFonts w:ascii="Arial" w:hAnsi="Arial" w:cs="Arial"/>
          <w:color w:val="000000"/>
          <w:sz w:val="20"/>
        </w:rPr>
        <w:t xml:space="preserve">- Messverfahren: AMP (Adaptiver </w:t>
      </w:r>
      <w:proofErr w:type="spellStart"/>
      <w:r>
        <w:rPr>
          <w:rFonts w:ascii="Arial" w:hAnsi="Arial" w:cs="Arial"/>
          <w:color w:val="000000"/>
          <w:sz w:val="20"/>
        </w:rPr>
        <w:t>Messpuls</w:t>
      </w:r>
      <w:proofErr w:type="spellEnd"/>
      <w:r>
        <w:rPr>
          <w:rFonts w:ascii="Arial" w:hAnsi="Arial" w:cs="Arial"/>
          <w:color w:val="000000"/>
          <w:sz w:val="20"/>
        </w:rPr>
        <w:t>)</w:t>
      </w:r>
    </w:p>
    <w:p w14:paraId="24365363" w14:textId="77777777" w:rsidR="00413C77" w:rsidRDefault="00413C77" w:rsidP="00413C77">
      <w:pPr>
        <w:spacing w:after="0"/>
        <w:rPr>
          <w:rFonts w:ascii="Arial" w:hAnsi="Arial" w:cs="Arial"/>
          <w:color w:val="000000"/>
          <w:sz w:val="20"/>
        </w:rPr>
      </w:pPr>
      <w:r>
        <w:rPr>
          <w:rFonts w:ascii="Arial" w:hAnsi="Arial" w:cs="Arial"/>
          <w:color w:val="000000"/>
          <w:sz w:val="20"/>
        </w:rPr>
        <w:t xml:space="preserve">- Ansprechwert: </w:t>
      </w:r>
      <w:proofErr w:type="gramStart"/>
      <w:r>
        <w:rPr>
          <w:rFonts w:ascii="Arial" w:hAnsi="Arial" w:cs="Arial"/>
          <w:color w:val="000000"/>
          <w:sz w:val="20"/>
        </w:rPr>
        <w:t>50..</w:t>
      </w:r>
      <w:proofErr w:type="gramEnd"/>
      <w:r>
        <w:rPr>
          <w:rFonts w:ascii="Arial" w:hAnsi="Arial" w:cs="Arial"/>
          <w:color w:val="000000"/>
          <w:sz w:val="20"/>
        </w:rPr>
        <w:t>500 kΩ</w:t>
      </w:r>
    </w:p>
    <w:p w14:paraId="02234810" w14:textId="77777777" w:rsidR="00413C77" w:rsidRDefault="00413C77" w:rsidP="00413C77">
      <w:pPr>
        <w:spacing w:after="0"/>
        <w:rPr>
          <w:rFonts w:ascii="Arial" w:hAnsi="Arial" w:cs="Arial"/>
          <w:color w:val="000000"/>
          <w:sz w:val="20"/>
        </w:rPr>
      </w:pPr>
      <w:r>
        <w:rPr>
          <w:rFonts w:ascii="Arial" w:hAnsi="Arial" w:cs="Arial"/>
          <w:color w:val="000000"/>
          <w:sz w:val="20"/>
        </w:rPr>
        <w:t>- Innenwiderstand: 240 kΩ</w:t>
      </w:r>
    </w:p>
    <w:p w14:paraId="1DF1F366" w14:textId="77777777" w:rsidR="00413C77" w:rsidRDefault="00413C77" w:rsidP="00413C77">
      <w:pPr>
        <w:spacing w:after="0"/>
        <w:rPr>
          <w:rFonts w:ascii="Arial" w:hAnsi="Arial" w:cs="Arial"/>
          <w:color w:val="000000"/>
          <w:sz w:val="20"/>
        </w:rPr>
      </w:pPr>
      <w:r>
        <w:rPr>
          <w:rFonts w:ascii="Arial" w:hAnsi="Arial" w:cs="Arial"/>
          <w:color w:val="000000"/>
          <w:sz w:val="20"/>
        </w:rPr>
        <w:t>- Messstrom: max. 64 µA</w:t>
      </w:r>
      <w:r>
        <w:rPr>
          <w:rFonts w:ascii="Arial" w:hAnsi="Arial" w:cs="Arial"/>
          <w:color w:val="000000"/>
          <w:sz w:val="20"/>
        </w:rPr>
        <w:tab/>
      </w:r>
    </w:p>
    <w:p w14:paraId="0C8B44A6" w14:textId="77777777" w:rsidR="00413C77" w:rsidRDefault="00413C77" w:rsidP="00413C77">
      <w:pPr>
        <w:spacing w:after="0"/>
        <w:rPr>
          <w:rFonts w:ascii="Arial" w:hAnsi="Arial" w:cs="Arial"/>
          <w:color w:val="000000"/>
          <w:sz w:val="20"/>
        </w:rPr>
      </w:pPr>
      <w:r>
        <w:rPr>
          <w:rFonts w:ascii="Arial" w:hAnsi="Arial" w:cs="Arial"/>
          <w:color w:val="000000"/>
          <w:sz w:val="20"/>
        </w:rPr>
        <w:t>- Messspannung: 12 V</w:t>
      </w:r>
    </w:p>
    <w:p w14:paraId="74ECF5C5" w14:textId="77777777" w:rsidR="00413C77" w:rsidRDefault="00413C77" w:rsidP="00413C77">
      <w:pPr>
        <w:spacing w:after="0"/>
        <w:rPr>
          <w:rFonts w:ascii="Arial" w:hAnsi="Arial" w:cs="Arial"/>
          <w:color w:val="000000"/>
          <w:sz w:val="20"/>
        </w:rPr>
      </w:pPr>
      <w:r>
        <w:rPr>
          <w:rFonts w:ascii="Arial" w:hAnsi="Arial" w:cs="Arial"/>
          <w:color w:val="000000"/>
          <w:sz w:val="20"/>
        </w:rPr>
        <w:t>- Netzableitkapazität: max. 5 µF</w:t>
      </w:r>
    </w:p>
    <w:p w14:paraId="71A586E2" w14:textId="77777777" w:rsidR="00413C77" w:rsidRDefault="00413C77" w:rsidP="00413C77">
      <w:pPr>
        <w:spacing w:after="0"/>
        <w:rPr>
          <w:rFonts w:ascii="Arial" w:hAnsi="Arial" w:cs="Arial"/>
          <w:color w:val="000000"/>
          <w:sz w:val="20"/>
        </w:rPr>
      </w:pPr>
      <w:r>
        <w:rPr>
          <w:rFonts w:ascii="Arial" w:hAnsi="Arial" w:cs="Arial"/>
          <w:color w:val="000000"/>
          <w:sz w:val="20"/>
        </w:rPr>
        <w:t>- Laststromüberwachung: Einstellbereiche I = 5...50 A</w:t>
      </w:r>
    </w:p>
    <w:p w14:paraId="55F500BE" w14:textId="77777777" w:rsidR="00413C77" w:rsidRDefault="00413C77" w:rsidP="00413C77">
      <w:pPr>
        <w:spacing w:after="0"/>
        <w:rPr>
          <w:rFonts w:ascii="Arial" w:hAnsi="Arial" w:cs="Arial"/>
          <w:color w:val="000000"/>
          <w:sz w:val="20"/>
        </w:rPr>
      </w:pPr>
      <w:r>
        <w:rPr>
          <w:rFonts w:ascii="Arial" w:hAnsi="Arial" w:cs="Arial"/>
          <w:color w:val="000000"/>
          <w:sz w:val="20"/>
        </w:rPr>
        <w:t>- Temperaturüberwachung: Temperaturfühler PTC nach DIN 44081, bis 6 Stück,</w:t>
      </w:r>
    </w:p>
    <w:p w14:paraId="79803C8A" w14:textId="77777777" w:rsidR="00413C77" w:rsidRDefault="00413C77" w:rsidP="00413C77">
      <w:pPr>
        <w:spacing w:after="0"/>
        <w:rPr>
          <w:rFonts w:ascii="Arial" w:hAnsi="Arial" w:cs="Arial"/>
          <w:color w:val="000000"/>
          <w:sz w:val="20"/>
        </w:rPr>
      </w:pPr>
      <w:r>
        <w:rPr>
          <w:rFonts w:ascii="Arial" w:hAnsi="Arial" w:cs="Arial"/>
          <w:color w:val="000000"/>
          <w:sz w:val="20"/>
        </w:rPr>
        <w:t xml:space="preserve">  Ansprechwert: 4 kΩ</w:t>
      </w:r>
    </w:p>
    <w:p w14:paraId="4CEE3DF0" w14:textId="77777777" w:rsidR="00413C77" w:rsidRDefault="00413C77" w:rsidP="00413C77">
      <w:pPr>
        <w:spacing w:after="0"/>
        <w:rPr>
          <w:rFonts w:ascii="Arial" w:hAnsi="Arial" w:cs="Arial"/>
          <w:color w:val="000000"/>
          <w:sz w:val="20"/>
        </w:rPr>
      </w:pPr>
      <w:r>
        <w:rPr>
          <w:rFonts w:ascii="Arial" w:hAnsi="Arial" w:cs="Arial"/>
          <w:color w:val="000000"/>
          <w:sz w:val="20"/>
        </w:rPr>
        <w:t>- Anschlussüberwachung: Erde, Stromwandler</w:t>
      </w:r>
    </w:p>
    <w:p w14:paraId="05E4275E" w14:textId="77777777" w:rsidR="00413C77" w:rsidRDefault="00413C77" w:rsidP="00413C77">
      <w:pPr>
        <w:spacing w:after="0"/>
        <w:rPr>
          <w:rFonts w:ascii="Arial" w:hAnsi="Arial" w:cs="Arial"/>
          <w:color w:val="000000"/>
          <w:sz w:val="20"/>
        </w:rPr>
      </w:pPr>
      <w:r>
        <w:rPr>
          <w:rFonts w:ascii="Arial" w:hAnsi="Arial" w:cs="Arial"/>
          <w:color w:val="000000"/>
          <w:sz w:val="20"/>
        </w:rPr>
        <w:t>- Meldekontakte: 1 getrenntes Melderelais potenzialfrei, mit sicherer Trennung, Sammelmeldung</w:t>
      </w:r>
    </w:p>
    <w:p w14:paraId="18E56151" w14:textId="77777777" w:rsidR="00413C77" w:rsidRDefault="00413C77" w:rsidP="00413C77">
      <w:pPr>
        <w:spacing w:after="0"/>
        <w:rPr>
          <w:rFonts w:ascii="Arial" w:hAnsi="Arial" w:cs="Arial"/>
          <w:color w:val="000000"/>
          <w:sz w:val="20"/>
        </w:rPr>
      </w:pPr>
    </w:p>
    <w:p w14:paraId="758C9EA6" w14:textId="77777777" w:rsidR="00413C77" w:rsidRDefault="00413C77" w:rsidP="00413C77">
      <w:pPr>
        <w:spacing w:after="0"/>
        <w:rPr>
          <w:rFonts w:ascii="Arial" w:hAnsi="Arial" w:cs="Arial"/>
          <w:color w:val="000000"/>
          <w:sz w:val="20"/>
        </w:rPr>
      </w:pPr>
      <w:r>
        <w:rPr>
          <w:rFonts w:ascii="Arial" w:hAnsi="Arial" w:cs="Arial"/>
          <w:color w:val="000000"/>
          <w:sz w:val="20"/>
        </w:rPr>
        <w:t>Funktion Prüfstromgenerator</w:t>
      </w:r>
    </w:p>
    <w:p w14:paraId="1236FD53" w14:textId="77777777" w:rsidR="00413C77" w:rsidRDefault="00413C77" w:rsidP="00413C77">
      <w:pPr>
        <w:spacing w:after="0"/>
        <w:rPr>
          <w:rFonts w:ascii="Arial" w:hAnsi="Arial" w:cs="Arial"/>
          <w:color w:val="000000"/>
          <w:sz w:val="20"/>
        </w:rPr>
      </w:pPr>
      <w:r>
        <w:rPr>
          <w:rFonts w:ascii="Arial" w:hAnsi="Arial" w:cs="Arial"/>
          <w:color w:val="000000"/>
          <w:sz w:val="20"/>
        </w:rPr>
        <w:t>Prüfstromgenerator: für Isolationsfehlersuche, Prüfstrom ≤ 1 mA</w:t>
      </w:r>
    </w:p>
    <w:p w14:paraId="5662FA30" w14:textId="77777777" w:rsidR="00413C77" w:rsidRDefault="00413C77" w:rsidP="00413C77">
      <w:pPr>
        <w:spacing w:after="0"/>
        <w:rPr>
          <w:rFonts w:ascii="Arial" w:hAnsi="Arial" w:cs="Arial"/>
          <w:color w:val="000000"/>
          <w:sz w:val="20"/>
        </w:rPr>
      </w:pPr>
      <w:proofErr w:type="spellStart"/>
      <w:r>
        <w:rPr>
          <w:rFonts w:ascii="Arial" w:hAnsi="Arial" w:cs="Arial"/>
          <w:color w:val="000000"/>
          <w:sz w:val="20"/>
        </w:rPr>
        <w:t>Prüftakt</w:t>
      </w:r>
      <w:proofErr w:type="spellEnd"/>
      <w:r>
        <w:rPr>
          <w:rFonts w:ascii="Arial" w:hAnsi="Arial" w:cs="Arial"/>
          <w:color w:val="000000"/>
          <w:sz w:val="20"/>
        </w:rPr>
        <w:t>/Pause: 2 s / 4 s</w:t>
      </w:r>
    </w:p>
    <w:p w14:paraId="572A1FE3" w14:textId="77777777" w:rsidR="00413C77" w:rsidRDefault="00413C77" w:rsidP="00413C77">
      <w:pPr>
        <w:spacing w:after="0"/>
        <w:rPr>
          <w:rFonts w:ascii="Arial" w:hAnsi="Arial" w:cs="Arial"/>
          <w:color w:val="000000"/>
          <w:sz w:val="20"/>
        </w:rPr>
      </w:pPr>
    </w:p>
    <w:p w14:paraId="1B0293C2" w14:textId="77777777" w:rsidR="00413C77" w:rsidRDefault="00413C77" w:rsidP="00413C77">
      <w:pPr>
        <w:spacing w:after="0"/>
        <w:rPr>
          <w:rFonts w:ascii="Arial" w:hAnsi="Arial" w:cs="Arial"/>
          <w:color w:val="000000"/>
          <w:sz w:val="20"/>
        </w:rPr>
      </w:pPr>
      <w:r>
        <w:rPr>
          <w:rFonts w:ascii="Arial" w:hAnsi="Arial" w:cs="Arial"/>
          <w:color w:val="000000"/>
          <w:sz w:val="20"/>
        </w:rPr>
        <w:t>Gehäuseabmessungen: 2 TE, 36x90x70,5 mm (</w:t>
      </w:r>
      <w:proofErr w:type="spellStart"/>
      <w:r>
        <w:rPr>
          <w:rFonts w:ascii="Arial" w:hAnsi="Arial" w:cs="Arial"/>
          <w:color w:val="000000"/>
          <w:sz w:val="20"/>
        </w:rPr>
        <w:t>BxHxT</w:t>
      </w:r>
      <w:proofErr w:type="spellEnd"/>
      <w:r>
        <w:rPr>
          <w:rFonts w:ascii="Arial" w:hAnsi="Arial" w:cs="Arial"/>
          <w:color w:val="000000"/>
          <w:sz w:val="20"/>
        </w:rPr>
        <w:t>)</w:t>
      </w:r>
    </w:p>
    <w:p w14:paraId="78DA13C3" w14:textId="77777777" w:rsidR="00413C77" w:rsidRDefault="00413C77" w:rsidP="00413C77">
      <w:pPr>
        <w:spacing w:after="0"/>
        <w:rPr>
          <w:rFonts w:ascii="Arial" w:hAnsi="Arial" w:cs="Arial"/>
          <w:color w:val="000000"/>
          <w:sz w:val="20"/>
        </w:rPr>
      </w:pPr>
    </w:p>
    <w:p w14:paraId="4C12CF3A" w14:textId="77777777" w:rsidR="00413C77" w:rsidRDefault="00413C77" w:rsidP="00413C77">
      <w:pPr>
        <w:spacing w:after="0"/>
        <w:rPr>
          <w:rFonts w:ascii="Arial" w:hAnsi="Arial" w:cs="Arial"/>
          <w:color w:val="000000"/>
          <w:sz w:val="20"/>
        </w:rPr>
      </w:pPr>
      <w:r>
        <w:rPr>
          <w:rFonts w:ascii="Arial" w:hAnsi="Arial" w:cs="Arial"/>
          <w:color w:val="000000"/>
          <w:sz w:val="20"/>
        </w:rPr>
        <w:t>Das Gehäuse eignet sich:</w:t>
      </w:r>
    </w:p>
    <w:p w14:paraId="31E892E6" w14:textId="77777777" w:rsidR="00413C77" w:rsidRDefault="00413C77" w:rsidP="00413C77">
      <w:pPr>
        <w:spacing w:after="0"/>
        <w:rPr>
          <w:rFonts w:ascii="Arial" w:hAnsi="Arial" w:cs="Arial"/>
          <w:color w:val="000000"/>
          <w:sz w:val="20"/>
        </w:rPr>
      </w:pPr>
      <w:r>
        <w:rPr>
          <w:rFonts w:ascii="Arial" w:hAnsi="Arial" w:cs="Arial"/>
          <w:color w:val="000000"/>
          <w:sz w:val="20"/>
        </w:rPr>
        <w:t>- zum Einbau in Installationsverteiler DIN 43871</w:t>
      </w:r>
    </w:p>
    <w:p w14:paraId="48E3C32D" w14:textId="77777777" w:rsidR="00413C77" w:rsidRDefault="00413C77" w:rsidP="00413C77">
      <w:pPr>
        <w:spacing w:after="0"/>
        <w:rPr>
          <w:rFonts w:ascii="Arial" w:hAnsi="Arial" w:cs="Arial"/>
          <w:color w:val="000000"/>
          <w:sz w:val="20"/>
        </w:rPr>
      </w:pPr>
      <w:r>
        <w:rPr>
          <w:rFonts w:ascii="Arial" w:hAnsi="Arial" w:cs="Arial"/>
          <w:color w:val="000000"/>
          <w:sz w:val="20"/>
        </w:rPr>
        <w:t>- zur Schnellmontage auf Hutprofilschiene DIN EN 60715</w:t>
      </w:r>
    </w:p>
    <w:p w14:paraId="38C113C8" w14:textId="77777777" w:rsidR="00413C77" w:rsidRDefault="00413C77" w:rsidP="00413C77">
      <w:pPr>
        <w:spacing w:after="0"/>
        <w:rPr>
          <w:rFonts w:ascii="Arial" w:hAnsi="Arial" w:cs="Arial"/>
          <w:color w:val="000000"/>
          <w:sz w:val="20"/>
        </w:rPr>
      </w:pPr>
      <w:r>
        <w:rPr>
          <w:rFonts w:ascii="Arial" w:hAnsi="Arial" w:cs="Arial"/>
          <w:color w:val="000000"/>
          <w:sz w:val="20"/>
        </w:rPr>
        <w:t>- zur Schraubmontage</w:t>
      </w:r>
    </w:p>
    <w:p w14:paraId="1CC98B31" w14:textId="77777777" w:rsidR="00413C77" w:rsidRDefault="00413C77" w:rsidP="00413C77">
      <w:pPr>
        <w:spacing w:after="0"/>
        <w:rPr>
          <w:rFonts w:ascii="Arial" w:hAnsi="Arial" w:cs="Arial"/>
          <w:color w:val="000000"/>
          <w:sz w:val="20"/>
        </w:rPr>
      </w:pPr>
    </w:p>
    <w:p w14:paraId="05C1D8C3" w14:textId="77777777" w:rsidR="00413C77" w:rsidRDefault="00413C77" w:rsidP="00413C77">
      <w:pPr>
        <w:spacing w:after="0"/>
        <w:rPr>
          <w:rFonts w:ascii="Arial" w:hAnsi="Arial" w:cs="Arial"/>
          <w:color w:val="000000"/>
          <w:sz w:val="20"/>
        </w:rPr>
      </w:pPr>
    </w:p>
    <w:p w14:paraId="60FC5A1F" w14:textId="77777777" w:rsidR="00413C77" w:rsidRDefault="00413C77" w:rsidP="00413C77">
      <w:pPr>
        <w:spacing w:after="0"/>
        <w:rPr>
          <w:rFonts w:ascii="Arial" w:hAnsi="Arial" w:cs="Arial"/>
          <w:color w:val="000000"/>
          <w:sz w:val="20"/>
        </w:rPr>
      </w:pPr>
      <w:r>
        <w:rPr>
          <w:rFonts w:ascii="Arial" w:hAnsi="Arial" w:cs="Arial"/>
          <w:color w:val="000000"/>
          <w:sz w:val="20"/>
        </w:rPr>
        <w:t>Bezugsquellennachweis:</w:t>
      </w:r>
      <w:r>
        <w:rPr>
          <w:rFonts w:ascii="Arial" w:hAnsi="Arial" w:cs="Arial"/>
          <w:color w:val="000000"/>
          <w:sz w:val="20"/>
        </w:rPr>
        <w:tab/>
      </w:r>
    </w:p>
    <w:p w14:paraId="45DAB74C" w14:textId="77777777" w:rsidR="00413C77" w:rsidRDefault="00413C77" w:rsidP="00413C77">
      <w:pPr>
        <w:spacing w:after="0"/>
        <w:rPr>
          <w:rFonts w:ascii="Arial" w:hAnsi="Arial" w:cs="Arial"/>
          <w:color w:val="000000"/>
          <w:sz w:val="20"/>
        </w:rPr>
      </w:pPr>
      <w:r>
        <w:rPr>
          <w:rFonts w:ascii="Arial" w:hAnsi="Arial" w:cs="Arial"/>
          <w:b/>
          <w:color w:val="000000"/>
          <w:sz w:val="20"/>
        </w:rPr>
        <w:tab/>
        <w:t>Bender GmbH &amp; Co. KG</w:t>
      </w:r>
    </w:p>
    <w:p w14:paraId="645961C5" w14:textId="77777777" w:rsidR="00413C77" w:rsidRDefault="00413C77" w:rsidP="00413C77">
      <w:pPr>
        <w:spacing w:after="0"/>
        <w:rPr>
          <w:rFonts w:ascii="Arial" w:hAnsi="Arial" w:cs="Arial"/>
          <w:color w:val="000000"/>
          <w:sz w:val="20"/>
        </w:rPr>
      </w:pPr>
    </w:p>
    <w:p w14:paraId="6C5BF14F" w14:textId="77777777" w:rsidR="00413C77" w:rsidRDefault="00413C77" w:rsidP="00413C77">
      <w:pPr>
        <w:spacing w:after="0"/>
        <w:rPr>
          <w:rFonts w:ascii="Arial" w:hAnsi="Arial" w:cs="Arial"/>
          <w:color w:val="000000"/>
          <w:sz w:val="20"/>
        </w:rPr>
      </w:pPr>
      <w:r>
        <w:rPr>
          <w:rFonts w:ascii="Arial" w:hAnsi="Arial" w:cs="Arial"/>
          <w:color w:val="000000"/>
          <w:sz w:val="20"/>
        </w:rPr>
        <w:tab/>
      </w:r>
      <w:proofErr w:type="spellStart"/>
      <w:r>
        <w:rPr>
          <w:rFonts w:ascii="Arial" w:hAnsi="Arial" w:cs="Arial"/>
          <w:color w:val="000000"/>
          <w:sz w:val="20"/>
        </w:rPr>
        <w:t>Londorfer</w:t>
      </w:r>
      <w:proofErr w:type="spellEnd"/>
      <w:r>
        <w:rPr>
          <w:rFonts w:ascii="Arial" w:hAnsi="Arial" w:cs="Arial"/>
          <w:color w:val="000000"/>
          <w:sz w:val="20"/>
        </w:rPr>
        <w:t xml:space="preserve"> Str. 65</w:t>
      </w:r>
    </w:p>
    <w:p w14:paraId="092AD0E5" w14:textId="77777777" w:rsidR="00413C77" w:rsidRDefault="00413C77" w:rsidP="00413C77">
      <w:pPr>
        <w:spacing w:after="0"/>
        <w:rPr>
          <w:rFonts w:ascii="Arial" w:hAnsi="Arial" w:cs="Arial"/>
          <w:color w:val="000000"/>
          <w:sz w:val="20"/>
        </w:rPr>
      </w:pPr>
      <w:r>
        <w:rPr>
          <w:rFonts w:ascii="Arial" w:hAnsi="Arial" w:cs="Arial"/>
          <w:color w:val="000000"/>
          <w:sz w:val="20"/>
        </w:rPr>
        <w:tab/>
        <w:t>35305 Grünberg</w:t>
      </w:r>
    </w:p>
    <w:p w14:paraId="72794761" w14:textId="77777777" w:rsidR="00413C77" w:rsidRDefault="00413C77" w:rsidP="00413C77">
      <w:pPr>
        <w:spacing w:after="0"/>
        <w:rPr>
          <w:rFonts w:ascii="Arial" w:hAnsi="Arial" w:cs="Arial"/>
          <w:color w:val="000000"/>
          <w:sz w:val="20"/>
        </w:rPr>
      </w:pPr>
      <w:r>
        <w:rPr>
          <w:rFonts w:ascii="Arial" w:hAnsi="Arial" w:cs="Arial"/>
          <w:color w:val="000000"/>
          <w:sz w:val="20"/>
        </w:rPr>
        <w:tab/>
        <w:t>Deutschland</w:t>
      </w:r>
    </w:p>
    <w:p w14:paraId="6BC81F70" w14:textId="77777777" w:rsidR="00413C77" w:rsidRDefault="00413C77" w:rsidP="00413C77">
      <w:pPr>
        <w:spacing w:after="0"/>
        <w:rPr>
          <w:rFonts w:ascii="Arial" w:hAnsi="Arial" w:cs="Arial"/>
          <w:color w:val="000000"/>
          <w:sz w:val="20"/>
        </w:rPr>
      </w:pPr>
      <w:r>
        <w:rPr>
          <w:rFonts w:ascii="Arial" w:hAnsi="Arial" w:cs="Arial"/>
          <w:color w:val="000000"/>
          <w:sz w:val="20"/>
        </w:rPr>
        <w:tab/>
        <w:t>+49 6401 807 0</w:t>
      </w:r>
    </w:p>
    <w:p w14:paraId="5CAC09ED" w14:textId="77777777" w:rsidR="00413C77" w:rsidRDefault="00413C77" w:rsidP="00413C77">
      <w:pPr>
        <w:spacing w:after="0"/>
        <w:rPr>
          <w:rFonts w:ascii="Arial" w:hAnsi="Arial" w:cs="Arial"/>
          <w:color w:val="000000"/>
          <w:sz w:val="20"/>
        </w:rPr>
      </w:pPr>
      <w:r>
        <w:rPr>
          <w:rFonts w:ascii="Arial" w:hAnsi="Arial" w:cs="Arial"/>
          <w:color w:val="000000"/>
          <w:sz w:val="20"/>
        </w:rPr>
        <w:tab/>
        <w:t>+49 6401 807 299</w:t>
      </w:r>
    </w:p>
    <w:p w14:paraId="2978FE22" w14:textId="77777777" w:rsidR="00413C77" w:rsidRDefault="00413C77" w:rsidP="00413C77">
      <w:pPr>
        <w:spacing w:after="0"/>
        <w:rPr>
          <w:rFonts w:ascii="Arial" w:hAnsi="Arial" w:cs="Arial"/>
          <w:color w:val="000000"/>
          <w:sz w:val="20"/>
        </w:rPr>
      </w:pPr>
      <w:r>
        <w:rPr>
          <w:rFonts w:ascii="Arial" w:hAnsi="Arial" w:cs="Arial"/>
          <w:color w:val="000000"/>
          <w:sz w:val="20"/>
        </w:rPr>
        <w:tab/>
        <w:t>vertrieb.inland@bender.de</w:t>
      </w:r>
    </w:p>
    <w:p w14:paraId="7D0DE3DF" w14:textId="77777777" w:rsidR="00413C77" w:rsidRDefault="00413C77" w:rsidP="00413C77">
      <w:pPr>
        <w:spacing w:after="0"/>
        <w:rPr>
          <w:rFonts w:ascii="Arial" w:hAnsi="Arial" w:cs="Arial"/>
          <w:color w:val="000000"/>
          <w:sz w:val="20"/>
        </w:rPr>
      </w:pPr>
      <w:r>
        <w:rPr>
          <w:rFonts w:ascii="Arial" w:hAnsi="Arial" w:cs="Arial"/>
          <w:color w:val="000000"/>
          <w:sz w:val="20"/>
        </w:rPr>
        <w:tab/>
        <w:t>www.bender.de</w:t>
      </w:r>
    </w:p>
    <w:p w14:paraId="29CE46B3" w14:textId="77777777" w:rsidR="00413C77" w:rsidRDefault="00413C77" w:rsidP="00413C77">
      <w:pPr>
        <w:spacing w:after="0"/>
        <w:rPr>
          <w:rFonts w:ascii="Arial" w:hAnsi="Arial" w:cs="Arial"/>
          <w:color w:val="000000"/>
          <w:sz w:val="20"/>
        </w:rPr>
      </w:pPr>
    </w:p>
    <w:p w14:paraId="2E58DB26" w14:textId="77777777" w:rsidR="00413C77" w:rsidRDefault="00413C77" w:rsidP="00413C77">
      <w:pPr>
        <w:spacing w:after="0"/>
        <w:rPr>
          <w:rFonts w:ascii="Arial" w:hAnsi="Arial" w:cs="Arial"/>
          <w:color w:val="000000"/>
          <w:sz w:val="20"/>
        </w:rPr>
      </w:pPr>
      <w:r>
        <w:rPr>
          <w:rFonts w:ascii="Arial" w:hAnsi="Arial" w:cs="Arial"/>
          <w:color w:val="000000"/>
          <w:sz w:val="20"/>
        </w:rPr>
        <w:t xml:space="preserve">Das zu errichtende Fabrikat ist wegen der gesicherten Kommunikation zwingend vorgeschrieben, da die zu errichtende Anlage in das Kommunikationskonzept der Bestandsanlage eingebunden werden muss. </w:t>
      </w:r>
    </w:p>
    <w:p w14:paraId="67F6264B" w14:textId="77777777" w:rsidR="00413C77" w:rsidRDefault="00413C77" w:rsidP="00413C77">
      <w:pPr>
        <w:spacing w:after="0"/>
        <w:rPr>
          <w:rFonts w:ascii="Arial" w:hAnsi="Arial" w:cs="Arial"/>
          <w:color w:val="000000"/>
          <w:sz w:val="20"/>
        </w:rPr>
      </w:pPr>
      <w:r>
        <w:rPr>
          <w:rFonts w:ascii="Arial" w:hAnsi="Arial" w:cs="Arial"/>
          <w:color w:val="000000"/>
          <w:sz w:val="20"/>
        </w:rPr>
        <w:t>Aus Funktions- und Gewährleistungsgründen sind daher nur Komponenten des vorhandenen Fabrikates „Bender“ zu verwenden.</w:t>
      </w:r>
    </w:p>
    <w:p w14:paraId="40436CD6" w14:textId="77777777" w:rsidR="00413C77" w:rsidRDefault="00413C77" w:rsidP="00413C77">
      <w:pPr>
        <w:spacing w:after="0"/>
        <w:rPr>
          <w:rFonts w:ascii="Arial" w:hAnsi="Arial" w:cs="Arial"/>
          <w:color w:val="000000"/>
          <w:sz w:val="20"/>
        </w:rPr>
      </w:pPr>
    </w:p>
    <w:p w14:paraId="729E668D" w14:textId="77777777" w:rsidR="00413C77" w:rsidRDefault="00413C77" w:rsidP="00413C77">
      <w:pPr>
        <w:tabs>
          <w:tab w:val="left" w:pos="2126"/>
        </w:tabs>
        <w:spacing w:after="0"/>
        <w:rPr>
          <w:rFonts w:ascii="Arial" w:hAnsi="Arial" w:cs="Arial"/>
          <w:b/>
          <w:color w:val="000000"/>
          <w:sz w:val="20"/>
        </w:rPr>
      </w:pPr>
      <w:r>
        <w:rPr>
          <w:rFonts w:ascii="Arial" w:hAnsi="Arial" w:cs="Arial"/>
          <w:color w:val="000000"/>
          <w:sz w:val="20"/>
        </w:rPr>
        <w:t xml:space="preserve">Anzahl: </w:t>
      </w:r>
      <w:r>
        <w:rPr>
          <w:rFonts w:ascii="Arial" w:hAnsi="Arial" w:cs="Arial"/>
          <w:color w:val="000000"/>
          <w:sz w:val="20"/>
        </w:rPr>
        <w:tab/>
      </w:r>
      <w:r>
        <w:rPr>
          <w:rFonts w:ascii="Arial" w:hAnsi="Arial" w:cs="Arial"/>
          <w:b/>
          <w:color w:val="000000"/>
          <w:sz w:val="20"/>
        </w:rPr>
        <w:t>1</w:t>
      </w:r>
    </w:p>
    <w:p w14:paraId="0AA82E0A" w14:textId="77777777" w:rsidR="00413C77" w:rsidRDefault="00413C77" w:rsidP="00413C77">
      <w:pPr>
        <w:tabs>
          <w:tab w:val="left" w:pos="2126"/>
        </w:tabs>
        <w:spacing w:after="0"/>
        <w:rPr>
          <w:rFonts w:ascii="Arial" w:hAnsi="Arial" w:cs="Arial"/>
          <w:b/>
          <w:color w:val="000000"/>
          <w:sz w:val="20"/>
        </w:rPr>
      </w:pPr>
      <w:r>
        <w:rPr>
          <w:rFonts w:ascii="Arial" w:hAnsi="Arial" w:cs="Arial"/>
          <w:color w:val="000000"/>
          <w:sz w:val="20"/>
        </w:rPr>
        <w:t xml:space="preserve">Typ: </w:t>
      </w:r>
      <w:r>
        <w:rPr>
          <w:rFonts w:ascii="Arial" w:hAnsi="Arial" w:cs="Arial"/>
          <w:color w:val="000000"/>
          <w:sz w:val="20"/>
        </w:rPr>
        <w:tab/>
      </w:r>
      <w:r>
        <w:rPr>
          <w:rFonts w:ascii="Arial" w:hAnsi="Arial" w:cs="Arial"/>
          <w:b/>
          <w:color w:val="000000"/>
          <w:sz w:val="20"/>
        </w:rPr>
        <w:t>isoMED427P-2</w:t>
      </w:r>
    </w:p>
    <w:p w14:paraId="56B7F591" w14:textId="77777777" w:rsidR="00413C77" w:rsidRDefault="00413C77" w:rsidP="00413C77">
      <w:pPr>
        <w:tabs>
          <w:tab w:val="left" w:pos="2126"/>
        </w:tabs>
        <w:spacing w:after="0"/>
        <w:rPr>
          <w:rFonts w:ascii="Arial" w:hAnsi="Arial" w:cs="Arial"/>
          <w:b/>
          <w:color w:val="000000"/>
          <w:sz w:val="20"/>
        </w:rPr>
      </w:pPr>
      <w:r>
        <w:rPr>
          <w:rFonts w:ascii="Arial" w:hAnsi="Arial" w:cs="Arial"/>
          <w:color w:val="000000"/>
          <w:sz w:val="20"/>
        </w:rPr>
        <w:t xml:space="preserve">Artikelnummer: </w:t>
      </w:r>
      <w:r>
        <w:rPr>
          <w:rFonts w:ascii="Arial" w:hAnsi="Arial" w:cs="Arial"/>
          <w:color w:val="000000"/>
          <w:sz w:val="20"/>
        </w:rPr>
        <w:tab/>
      </w:r>
      <w:r>
        <w:rPr>
          <w:rFonts w:ascii="Arial" w:hAnsi="Arial" w:cs="Arial"/>
          <w:b/>
          <w:color w:val="000000"/>
          <w:sz w:val="20"/>
        </w:rPr>
        <w:t>B72075301</w:t>
      </w:r>
    </w:p>
    <w:p w14:paraId="491B6495" w14:textId="77777777" w:rsidR="00413C77" w:rsidRDefault="00413C77" w:rsidP="00413C77">
      <w:pPr>
        <w:spacing w:after="0"/>
        <w:rPr>
          <w:rFonts w:ascii="Arial" w:hAnsi="Arial" w:cs="Arial"/>
          <w:b/>
          <w:color w:val="000000"/>
          <w:sz w:val="20"/>
        </w:rPr>
      </w:pPr>
    </w:p>
    <w:p w14:paraId="6C7B2790" w14:textId="5BD9FDEF" w:rsidR="00413C77" w:rsidRDefault="00354F92" w:rsidP="00413C77">
      <w:pPr>
        <w:spacing w:after="0"/>
        <w:rPr>
          <w:rFonts w:ascii="Arial" w:hAnsi="Arial" w:cs="Arial"/>
          <w:b/>
          <w:color w:val="000000"/>
          <w:sz w:val="20"/>
        </w:rPr>
      </w:pPr>
      <w:r>
        <w:rPr>
          <w:rFonts w:ascii="Arial" w:hAnsi="Arial" w:cs="Arial"/>
          <w:color w:val="000000"/>
          <w:sz w:val="20"/>
        </w:rPr>
        <w:pict w14:anchorId="1FECD5FD">
          <v:rect id="_x0000_i1025" style="width:0;height:1.5pt" o:hralign="center" o:hrstd="t" o:hr="t" fillcolor="#a0a0a0" stroked="f"/>
        </w:pict>
      </w:r>
    </w:p>
    <w:p w14:paraId="628D58AB" w14:textId="3AEE8BEF" w:rsidR="003811E2" w:rsidRPr="00413C77" w:rsidRDefault="003811E2" w:rsidP="00413C77">
      <w:pPr>
        <w:spacing w:after="0"/>
        <w:rPr>
          <w:rFonts w:ascii="Arial" w:hAnsi="Arial" w:cs="Arial"/>
          <w:b/>
          <w:color w:val="000000"/>
          <w:sz w:val="20"/>
        </w:rPr>
      </w:pPr>
    </w:p>
    <w:sectPr w:rsidR="003811E2" w:rsidRPr="00413C77" w:rsidSect="00413C77">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423DAF" w14:textId="77777777" w:rsidR="00354F92" w:rsidRDefault="00354F92" w:rsidP="00413C77">
      <w:pPr>
        <w:spacing w:after="0" w:line="240" w:lineRule="auto"/>
      </w:pPr>
      <w:r>
        <w:separator/>
      </w:r>
    </w:p>
  </w:endnote>
  <w:endnote w:type="continuationSeparator" w:id="0">
    <w:p w14:paraId="1E328463" w14:textId="77777777" w:rsidR="00354F92" w:rsidRDefault="00354F92" w:rsidP="00413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B6B02" w14:textId="77777777" w:rsidR="00413C77" w:rsidRDefault="00413C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30214" w14:textId="6E5FF069" w:rsidR="00413C77" w:rsidRPr="00413C77" w:rsidRDefault="00354F92">
    <w:pPr>
      <w:pStyle w:val="Fuzeile"/>
      <w:rPr>
        <w:rFonts w:ascii="Arial" w:hAnsi="Arial" w:cs="Arial"/>
        <w:sz w:val="20"/>
      </w:rPr>
    </w:pPr>
    <w:r>
      <w:rPr>
        <w:rFonts w:ascii="Arial" w:hAnsi="Arial" w:cs="Arial"/>
        <w:b/>
        <w:sz w:val="20"/>
      </w:rPr>
      <w:pict w14:anchorId="3792A8F4">
        <v:rect id="_x0000_i1027" style="width:0;height:1.5pt" o:hralign="center" o:hrstd="t" o:hr="t" fillcolor="#a0a0a0" stroked="f"/>
      </w:pict>
    </w:r>
    <w:r w:rsidR="00413C77">
      <w:rPr>
        <w:rFonts w:ascii="Arial" w:hAnsi="Arial" w:cs="Arial"/>
        <w:b/>
        <w:sz w:val="20"/>
      </w:rPr>
      <w:t xml:space="preserve"> </w:t>
    </w:r>
    <w:proofErr w:type="spellStart"/>
    <w:r w:rsidR="00413C77">
      <w:rPr>
        <w:rFonts w:ascii="Arial" w:hAnsi="Arial" w:cs="Arial"/>
        <w:b/>
        <w:sz w:val="20"/>
      </w:rPr>
      <w:t>sTool</w:t>
    </w:r>
    <w:proofErr w:type="spellEnd"/>
    <w:r w:rsidR="00413C77">
      <w:rPr>
        <w:rFonts w:ascii="Arial" w:hAnsi="Arial" w:cs="Arial"/>
        <w:b/>
        <w:sz w:val="20"/>
      </w:rPr>
      <w:t xml:space="preserve"> 2.0.4.8 (</w:t>
    </w:r>
    <w:proofErr w:type="spellStart"/>
    <w:r w:rsidR="00413C77">
      <w:rPr>
        <w:rFonts w:ascii="Arial" w:hAnsi="Arial" w:cs="Arial"/>
        <w:b/>
        <w:sz w:val="20"/>
      </w:rPr>
      <w:t>stable</w:t>
    </w:r>
    <w:proofErr w:type="spellEnd"/>
    <w:r w:rsidR="00413C77">
      <w:rPr>
        <w:rFonts w:ascii="Arial" w:hAnsi="Arial" w:cs="Arial"/>
        <w:b/>
        <w:sz w:val="20"/>
      </w:rPr>
      <w:t>)</w:t>
    </w:r>
    <w:r w:rsidR="00413C77">
      <w:rPr>
        <w:rFonts w:ascii="Arial" w:hAnsi="Arial" w:cs="Arial"/>
        <w:b/>
        <w:sz w:val="20"/>
      </w:rPr>
      <w:tab/>
    </w:r>
    <w:r w:rsidR="00413C77">
      <w:rPr>
        <w:rFonts w:ascii="Arial" w:hAnsi="Arial" w:cs="Arial"/>
        <w:b/>
        <w:sz w:val="20"/>
      </w:rPr>
      <w:tab/>
      <w:t>Seite</w:t>
    </w:r>
    <w:r w:rsidR="00413C77">
      <w:rPr>
        <w:rFonts w:ascii="Arial" w:hAnsi="Arial" w:cs="Arial"/>
        <w:b/>
        <w:sz w:val="20"/>
      </w:rPr>
      <w:fldChar w:fldCharType="begin"/>
    </w:r>
    <w:r w:rsidR="00413C77">
      <w:rPr>
        <w:rFonts w:ascii="Arial" w:hAnsi="Arial" w:cs="Arial"/>
        <w:b/>
        <w:sz w:val="20"/>
      </w:rPr>
      <w:instrText xml:space="preserve"> PAGE </w:instrText>
    </w:r>
    <w:r w:rsidR="00413C77">
      <w:rPr>
        <w:rFonts w:ascii="Arial" w:hAnsi="Arial" w:cs="Arial"/>
        <w:b/>
        <w:sz w:val="20"/>
      </w:rPr>
      <w:fldChar w:fldCharType="separate"/>
    </w:r>
    <w:r w:rsidR="00413C77">
      <w:rPr>
        <w:rFonts w:ascii="Arial" w:hAnsi="Arial" w:cs="Arial"/>
        <w:b/>
        <w:noProof/>
        <w:sz w:val="20"/>
      </w:rPr>
      <w:t>1</w:t>
    </w:r>
    <w:r w:rsidR="00413C77">
      <w:rPr>
        <w:rFonts w:ascii="Arial" w:hAnsi="Arial" w:cs="Arial"/>
        <w:b/>
        <w:sz w:val="20"/>
      </w:rPr>
      <w:fldChar w:fldCharType="end"/>
    </w:r>
    <w:r w:rsidR="00413C77">
      <w:rPr>
        <w:rFonts w:ascii="Arial" w:hAnsi="Arial" w:cs="Arial"/>
        <w:b/>
        <w:sz w:val="20"/>
      </w:rPr>
      <w:t>/</w:t>
    </w:r>
    <w:r w:rsidR="00413C77">
      <w:rPr>
        <w:rFonts w:ascii="Arial" w:hAnsi="Arial" w:cs="Arial"/>
        <w:b/>
        <w:sz w:val="20"/>
      </w:rPr>
      <w:fldChar w:fldCharType="begin"/>
    </w:r>
    <w:r w:rsidR="00413C77">
      <w:rPr>
        <w:rFonts w:ascii="Arial" w:hAnsi="Arial" w:cs="Arial"/>
        <w:b/>
        <w:sz w:val="20"/>
      </w:rPr>
      <w:instrText xml:space="preserve"> NUMPAGES </w:instrText>
    </w:r>
    <w:r w:rsidR="00413C77">
      <w:rPr>
        <w:rFonts w:ascii="Arial" w:hAnsi="Arial" w:cs="Arial"/>
        <w:b/>
        <w:sz w:val="20"/>
      </w:rPr>
      <w:fldChar w:fldCharType="separate"/>
    </w:r>
    <w:r w:rsidR="00413C77">
      <w:rPr>
        <w:rFonts w:ascii="Arial" w:hAnsi="Arial" w:cs="Arial"/>
        <w:b/>
        <w:noProof/>
        <w:sz w:val="20"/>
      </w:rPr>
      <w:t>1</w:t>
    </w:r>
    <w:r w:rsidR="00413C77">
      <w:rPr>
        <w:rFonts w:ascii="Arial" w:hAnsi="Arial" w:cs="Arial"/>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45ED1" w14:textId="77777777" w:rsidR="00413C77" w:rsidRDefault="00413C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DAC63D" w14:textId="77777777" w:rsidR="00354F92" w:rsidRDefault="00354F92" w:rsidP="00413C77">
      <w:pPr>
        <w:spacing w:after="0" w:line="240" w:lineRule="auto"/>
      </w:pPr>
      <w:r>
        <w:separator/>
      </w:r>
    </w:p>
  </w:footnote>
  <w:footnote w:type="continuationSeparator" w:id="0">
    <w:p w14:paraId="0107C9CC" w14:textId="77777777" w:rsidR="00354F92" w:rsidRDefault="00354F92" w:rsidP="00413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C45EC" w14:textId="77777777" w:rsidR="00413C77" w:rsidRDefault="00413C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6B887" w14:textId="77777777" w:rsidR="00413C77" w:rsidRDefault="00413C77">
    <w:pPr>
      <w:pStyle w:val="Kopfzeile"/>
      <w:rPr>
        <w:rFonts w:ascii="Arial" w:hAnsi="Arial" w:cs="Arial"/>
        <w:b/>
        <w:sz w:val="20"/>
      </w:rPr>
    </w:pPr>
    <w:r w:rsidRPr="00413C77">
      <w:rPr>
        <w:rFonts w:ascii="Arial" w:hAnsi="Arial" w:cs="Arial"/>
        <w:b/>
        <w:noProof/>
        <w:sz w:val="20"/>
      </w:rPr>
      <w:drawing>
        <wp:anchor distT="0" distB="0" distL="114300" distR="114300" simplePos="0" relativeHeight="251658240" behindDoc="0" locked="0" layoutInCell="1" allowOverlap="1" wp14:anchorId="01B03C7D" wp14:editId="7AB9B251">
          <wp:simplePos x="0" y="0"/>
          <wp:positionH relativeFrom="column">
            <wp:posOffset>4715510</wp:posOffset>
          </wp:positionH>
          <wp:positionV relativeFrom="paragraph">
            <wp:posOffset>-63500</wp:posOffset>
          </wp:positionV>
          <wp:extent cx="1016000" cy="229972"/>
          <wp:effectExtent l="0" t="0" r="0" b="0"/>
          <wp:wrapNone/>
          <wp:docPr id="1" name="Grafi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16000" cy="229972"/>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sz w:val="20"/>
      </w:rPr>
      <w:t>Ausarbeitung</w:t>
    </w:r>
  </w:p>
  <w:p w14:paraId="0D400D7E" w14:textId="2AB1DCB3" w:rsidR="00413C77" w:rsidRPr="00413C77" w:rsidRDefault="00354F92">
    <w:pPr>
      <w:pStyle w:val="Kopfzeile"/>
      <w:rPr>
        <w:rFonts w:ascii="Arial" w:hAnsi="Arial" w:cs="Arial"/>
        <w:b/>
        <w:sz w:val="20"/>
      </w:rPr>
    </w:pPr>
    <w:r>
      <w:rPr>
        <w:rFonts w:ascii="Arial" w:hAnsi="Arial" w:cs="Arial"/>
        <w:b/>
        <w:sz w:val="20"/>
      </w:rPr>
      <w:pict w14:anchorId="046C87B6">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9A5DA" w14:textId="77777777" w:rsidR="00413C77" w:rsidRDefault="00413C7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C77"/>
    <w:rsid w:val="00354F92"/>
    <w:rsid w:val="003811E2"/>
    <w:rsid w:val="00413C77"/>
    <w:rsid w:val="00513633"/>
    <w:rsid w:val="005B4086"/>
    <w:rsid w:val="007C7A53"/>
    <w:rsid w:val="00DD23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4BF6CC"/>
  <w15:chartTrackingRefBased/>
  <w15:docId w15:val="{A70FAA27-B8B0-4C89-A63A-88B9A6EA2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13C77"/>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413C77"/>
  </w:style>
  <w:style w:type="paragraph" w:styleId="Fuzeile">
    <w:name w:val="footer"/>
    <w:basedOn w:val="Standard"/>
    <w:link w:val="FuzeileZchn"/>
    <w:uiPriority w:val="99"/>
    <w:unhideWhenUsed/>
    <w:rsid w:val="00413C77"/>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413C77"/>
  </w:style>
  <w:style w:type="character" w:styleId="Hyperlink">
    <w:name w:val="Hyperlink"/>
    <w:basedOn w:val="Absatz-Standardschriftart"/>
    <w:uiPriority w:val="99"/>
    <w:unhideWhenUsed/>
    <w:rsid w:val="00413C77"/>
    <w:rPr>
      <w:color w:val="0563C1" w:themeColor="hyperlink"/>
      <w:u w:val="single"/>
    </w:rPr>
  </w:style>
  <w:style w:type="character" w:styleId="NichtaufgelsteErwhnung">
    <w:name w:val="Unresolved Mention"/>
    <w:basedOn w:val="Absatz-Standardschriftart"/>
    <w:uiPriority w:val="99"/>
    <w:semiHidden/>
    <w:unhideWhenUsed/>
    <w:rsid w:val="00413C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18" Type="http://schemas.openxmlformats.org/officeDocument/2006/relationships/customXml" Target="../customXml/item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mso-contentType ?>
<SharedContentType xmlns="Microsoft.SharePoint.Taxonomy.ContentTypeSync" SourceId="cad7ab23-efa3-41c6-9570-6eef7ddecc72" ContentTypeId="0x0101" PreviousValue="false" LastSyncTimeStamp="2024-09-18T07:06:20.127Z"/>
</file>

<file path=customXml/item3.xml><?xml version="1.0" encoding="utf-8"?>
<ct:contentTypeSchema xmlns:ct="http://schemas.microsoft.com/office/2006/metadata/contentType" xmlns:ma="http://schemas.microsoft.com/office/2006/metadata/properties/metaAttributes" ct:_="" ma:_="" ma:contentTypeName="Extranet Produkt-Dokument" ma:contentTypeID="0x0101001FB42EA2951C5E418C4D45CCA148D25B020048B2964BA7772941B90880BFB0D886B2" ma:contentTypeVersion="10" ma:contentTypeDescription="Create a new document." ma:contentTypeScope="" ma:versionID="287129d371b668d4a556043002b45a6f">
  <xsd:schema xmlns:xsd="http://www.w3.org/2001/XMLSchema" xmlns:xs="http://www.w3.org/2001/XMLSchema" xmlns:p="http://schemas.microsoft.com/office/2006/metadata/properties" xmlns:ns2="0c38e63a-919c-48f1-a07f-f09cdb1572ff" xmlns:ns3="657be9c5-6ba3-4668-b379-d75dcc894196" xmlns:ns4="http://schemas.microsoft.com/sharepoint/v3/fields" targetNamespace="http://schemas.microsoft.com/office/2006/metadata/properties" ma:root="true" ma:fieldsID="e031161dc2ad1b0611306dbba20a31c6" ns2:_="" ns3:_="" ns4:_="">
    <xsd:import namespace="0c38e63a-919c-48f1-a07f-f09cdb1572ff"/>
    <xsd:import namespace="657be9c5-6ba3-4668-b379-d75dcc894196"/>
    <xsd:import namespace="http://schemas.microsoft.com/sharepoint/v3/fields"/>
    <xsd:element name="properties">
      <xsd:complexType>
        <xsd:sequence>
          <xsd:element name="documentManagement">
            <xsd:complexType>
              <xsd:all>
                <xsd:element ref="ns2:D-Numbers" minOccurs="0"/>
                <xsd:element ref="ns2:B-Numbers" minOccurs="0"/>
                <xsd:element ref="ns3:Version_x0020_Number" minOccurs="0"/>
                <xsd:element ref="ns3:Timestamp" minOccurs="0"/>
                <xsd:element ref="ns4:_DCDateModified" minOccurs="0"/>
                <xsd:element ref="ns3:Keywords1" minOccurs="0"/>
                <xsd:element ref="ns2:SeoKeywords" minOccurs="0"/>
                <xsd:element ref="ns3:TaxCatchAll" minOccurs="0"/>
                <xsd:element ref="ns3:ImportStatus" minOccurs="0"/>
                <xsd:element ref="ns3:Regionalfokus" minOccurs="0"/>
                <xsd:element ref="ns3:TaxCatchAllLabel" minOccurs="0"/>
                <xsd:element ref="ns3:j4315391d7b143bb97dba71893001b46" minOccurs="0"/>
                <xsd:element ref="ns3:ce7228c0f5b242ebb045d35d933a2de5" minOccurs="0"/>
                <xsd:element ref="ns3:j5d06b36734a4268806b6a5ea3a35983" minOccurs="0"/>
                <xsd:element ref="ns3:TaxKeywordTaxHTFiel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8e63a-919c-48f1-a07f-f09cdb1572ff" elementFormDefault="qualified">
    <xsd:import namespace="http://schemas.microsoft.com/office/2006/documentManagement/types"/>
    <xsd:import namespace="http://schemas.microsoft.com/office/infopath/2007/PartnerControls"/>
    <xsd:element name="D-Numbers" ma:index="2" nillable="true" ma:displayName="D_x002d_Numbers" ma:internalName="D_x002d_Numbers" ma:readOnly="false">
      <xsd:simpleType>
        <xsd:restriction base="dms:Text">
          <xsd:maxLength value="255"/>
        </xsd:restriction>
      </xsd:simpleType>
    </xsd:element>
    <xsd:element name="B-Numbers" ma:index="3" nillable="true" ma:displayName="B_x002d_Numbers" ma:internalName="B_x002d_Numbers" ma:readOnly="false">
      <xsd:simpleType>
        <xsd:restriction base="dms:Note">
          <xsd:maxLength value="255"/>
        </xsd:restriction>
      </xsd:simpleType>
    </xsd:element>
    <xsd:element name="SeoKeywords" ma:index="8" nillable="true" ma:displayName="SeoKeywords" ma:description="Meta-Schlüsselwörter" ma:internalName="Seo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be9c5-6ba3-4668-b379-d75dcc894196" elementFormDefault="qualified">
    <xsd:import namespace="http://schemas.microsoft.com/office/2006/documentManagement/types"/>
    <xsd:import namespace="http://schemas.microsoft.com/office/infopath/2007/PartnerControls"/>
    <xsd:element name="Version_x0020_Number" ma:index="4" nillable="true" ma:displayName="Versionsnummer" ma:internalName="Version_x0020_Number" ma:readOnly="false">
      <xsd:simpleType>
        <xsd:restriction base="dms:Text">
          <xsd:maxLength value="255"/>
        </xsd:restriction>
      </xsd:simpleType>
    </xsd:element>
    <xsd:element name="Timestamp" ma:index="5" nillable="true" ma:displayName="Datum" ma:description="Änderungsdatum der Datei" ma:format="DateOnly" ma:internalName="Timestamp" ma:readOnly="false">
      <xsd:simpleType>
        <xsd:restriction base="dms:DateTime"/>
      </xsd:simpleType>
    </xsd:element>
    <xsd:element name="Keywords1" ma:index="7" nillable="true" ma:displayName="Keywords" ma:internalName="Keywords1" ma:readOnly="false">
      <xsd:simpleType>
        <xsd:restriction base="dms:Text">
          <xsd:maxLength value="255"/>
        </xsd:restriction>
      </xsd:simpleType>
    </xsd:element>
    <xsd:element name="TaxCatchAll" ma:index="15" nillable="true" ma:displayName="Taxonomy Catch All Column" ma:list="{351e1f97-7640-4774-bdc4-e268d8808262}" ma:internalName="TaxCatchAll" ma:readOnly="false" ma:showField="CatchAllData"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ImportStatus" ma:index="17" nillable="true" ma:displayName="ImportStatus" ma:internalName="ImportStatus" ma:readOnly="false">
      <xsd:simpleType>
        <xsd:restriction base="dms:Text">
          <xsd:maxLength value="255"/>
        </xsd:restriction>
      </xsd:simpleType>
    </xsd:element>
    <xsd:element name="Regionalfokus" ma:index="18" nillable="true" ma:displayName="Regionalfokus" ma:default="North America" ma:internalName="Regionalfokus" ma:readOnly="false">
      <xsd:complexType>
        <xsd:complexContent>
          <xsd:extension base="dms:MultiChoiceFillIn">
            <xsd:sequence>
              <xsd:element name="Value" maxOccurs="unbounded" minOccurs="0" nillable="true">
                <xsd:simpleType>
                  <xsd:union memberTypes="dms:Text">
                    <xsd:simpleType>
                      <xsd:restriction base="dms:Choice">
                        <xsd:enumeration value="North America"/>
                        <xsd:enumeration value="Central America"/>
                        <xsd:enumeration value="South America"/>
                        <xsd:enumeration value="Australia"/>
                      </xsd:restriction>
                    </xsd:simpleType>
                  </xsd:union>
                </xsd:simpleType>
              </xsd:element>
            </xsd:sequence>
          </xsd:extension>
        </xsd:complexContent>
      </xsd:complexType>
    </xsd:element>
    <xsd:element name="TaxCatchAllLabel" ma:index="20" nillable="true" ma:displayName="Taxonomy Catch All Column1" ma:list="{351e1f97-7640-4774-bdc4-e268d8808262}" ma:internalName="TaxCatchAllLabel" ma:readOnly="true" ma:showField="CatchAllDataLabel"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j4315391d7b143bb97dba71893001b46" ma:index="21" nillable="true" ma:displayName="Device Type_0" ma:internalName="j4315391d7b143bb97dba71893001b46" ma:readOnly="false">
      <xsd:simpleType>
        <xsd:restriction base="dms:Note">
          <xsd:maxLength value="255"/>
        </xsd:restriction>
      </xsd:simpleType>
    </xsd:element>
    <xsd:element name="ce7228c0f5b242ebb045d35d933a2de5" ma:index="22" nillable="true" ma:displayName="Sprachen_0" ma:internalName="ce7228c0f5b242ebb045d35d933a2de5" ma:readOnly="false">
      <xsd:simpleType>
        <xsd:restriction base="dms:Note">
          <xsd:maxLength value="255"/>
        </xsd:restriction>
      </xsd:simpleType>
    </xsd:element>
    <xsd:element name="j5d06b36734a4268806b6a5ea3a35983" ma:index="23" nillable="true" ma:displayName="Document State_0" ma:internalName="j5d06b36734a4268806b6a5ea3a35983" ma:readOnly="false">
      <xsd:simpleType>
        <xsd:restriction base="dms:Note">
          <xsd:maxLength value="255"/>
        </xsd:restriction>
      </xsd:simpleType>
    </xsd:element>
    <xsd:element name="TaxKeywordTaxHTField" ma:index="24" nillable="true" ma:taxonomy="true" ma:internalName="TaxKeywordTaxHTField" ma:taxonomyFieldName="TaxKeyword" ma:displayName="Unternehmensstichwörter" ma:readOnly="false" ma:fieldId="{23f27201-bee3-471e-b2e7-b64fd8b7ca38}" ma:taxonomyMulti="true" ma:sspId="cad7ab23-efa3-41c6-9570-6eef7ddecc72" ma:termSetId="00000000-0000-0000-0000-000000000000" ma:anchorId="00000000-0000-0000-0000-000000000000" ma:open="true" ma:isKeyword="true">
      <xsd:complexType>
        <xsd:sequence>
          <xsd:element ref="pc:Terms" minOccurs="0" maxOccurs="1"/>
        </xsd:sequence>
      </xsd:complexType>
    </xsd:element>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6" nillable="true" ma:displayName="Geändert am" ma:description="Das Datum, an dem diese Ressource zuletzt geändert wurde" ma:format="DateTime" ma:internalName="_DCDateModified"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j4315391d7b143bb97dba71893001b46 xmlns="657be9c5-6ba3-4668-b379-d75dcc894196">isoMED427P1e62fe6d-b824-427b-ac49-5227ae61413d</j4315391d7b143bb97dba71893001b46>
    <Timestamp xmlns="657be9c5-6ba3-4668-b379-d75dcc894196">2021-06-22T22:00:00+00:00</Timestamp>
    <TaxCatchAll xmlns="657be9c5-6ba3-4668-b379-d75dcc894196" xsi:nil="true"/>
    <SeoKeywords xmlns="0c38e63a-919c-48f1-a07f-f09cdb1572ff" xsi:nil="true"/>
    <ImportStatus xmlns="657be9c5-6ba3-4668-b379-d75dcc894196" xsi:nil="true"/>
    <ce7228c0f5b242ebb045d35d933a2de5 xmlns="657be9c5-6ba3-4668-b379-d75dcc894196">DEc995c48f-1dd5-4fb9-be90-92eb49f7020f</ce7228c0f5b242ebb045d35d933a2de5>
    <Keywords1 xmlns="657be9c5-6ba3-4668-b379-d75dcc894196" xsi:nil="true"/>
    <Version_x0020_Number xmlns="657be9c5-6ba3-4668-b379-d75dcc894196" xsi:nil="true"/>
    <TaxKeywordTaxHTField xmlns="657be9c5-6ba3-4668-b379-d75dcc894196">
      <Terms xmlns="http://schemas.microsoft.com/office/infopath/2007/PartnerControls"/>
    </TaxKeywordTaxHTField>
    <Regionalfokus xmlns="657be9c5-6ba3-4668-b379-d75dcc894196">
      <Value>North America</Value>
    </Regionalfokus>
    <j5d06b36734a4268806b6a5ea3a35983 xmlns="657be9c5-6ba3-4668-b379-d75dcc894196">Releasedfe6487bf-72e8-4e1b-86f0-b6dc30eea096</j5d06b36734a4268806b6a5ea3a35983>
    <_dlc_DocId xmlns="657be9c5-6ba3-4668-b379-d75dcc894196">66JJAQKKUAN5-21-318</_dlc_DocId>
    <_dlc_DocIdUrl xmlns="657be9c5-6ba3-4668-b379-d75dcc894196">
      <Url>https://mybender.sharepoint.com/sites/Extranet/de/_layouts/15/DocIdRedir.aspx?ID=66JJAQKKUAN5-21-318</Url>
      <Description>66JJAQKKUAN5-21-318</Description>
    </_dlc_DocIdUrl>
    <D-Numbers xmlns="0c38e63a-919c-48f1-a07f-f09cdb1572ff" xsi:nil="true"/>
    <B-Numbers xmlns="0c38e63a-919c-48f1-a07f-f09cdb1572ff" xsi:nil="true"/>
    <_dlc_DocIdPersistId xmlns="657be9c5-6ba3-4668-b379-d75dcc894196"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258C0FA-5C11-4E10-9C59-C75CEFBC76E5}"/>
</file>

<file path=customXml/itemProps2.xml><?xml version="1.0" encoding="utf-8"?>
<ds:datastoreItem xmlns:ds="http://schemas.openxmlformats.org/officeDocument/2006/customXml" ds:itemID="{ADCFADB1-627D-473F-BE5A-C427EE580F2A}"/>
</file>

<file path=customXml/itemProps3.xml><?xml version="1.0" encoding="utf-8"?>
<ds:datastoreItem xmlns:ds="http://schemas.openxmlformats.org/officeDocument/2006/customXml" ds:itemID="{804CE7D0-8468-44EE-8289-651321C0696B}"/>
</file>

<file path=customXml/itemProps4.xml><?xml version="1.0" encoding="utf-8"?>
<ds:datastoreItem xmlns:ds="http://schemas.openxmlformats.org/officeDocument/2006/customXml" ds:itemID="{C0C22F10-FAF9-4D83-9B55-14EBF571A8BF}"/>
</file>

<file path=customXml/itemProps5.xml><?xml version="1.0" encoding="utf-8"?>
<ds:datastoreItem xmlns:ds="http://schemas.openxmlformats.org/officeDocument/2006/customXml" ds:itemID="{AA27D691-C0C1-4816-8284-201FE3049247}"/>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2896</Characters>
  <Application>Microsoft Office Word</Application>
  <DocSecurity>0</DocSecurity>
  <Lines>24</Lines>
  <Paragraphs>6</Paragraphs>
  <ScaleCrop>false</ScaleCrop>
  <Company>Bender GmbH Co. KG</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isoMED427P</dc:title>
  <dc:subject/>
  <dc:creator>Schedel, Marco</dc:creator>
  <cp:keywords/>
  <dc:description/>
  <cp:lastModifiedBy>Dick, Verena</cp:lastModifiedBy>
  <cp:revision>2</cp:revision>
  <dcterms:created xsi:type="dcterms:W3CDTF">2021-07-19T07:44:00Z</dcterms:created>
  <dcterms:modified xsi:type="dcterms:W3CDTF">2021-07-19T07:44:00Z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0x0101001FB42EA2951C5E418C4D45CCA148D25B020048B2964BA7772941B90880BFB0D886B2</vt:lpwstr>
  </property>
  <property fmtid="{D5CDD505-2E9C-101B-9397-08002B2CF9AE}" pid="3" name="_dlc_DocIdItemGuid">
    <vt:lpwstr>8379f137-c2bf-4ce9-b7a7-b7400a214308</vt:lpwstr>
  </property>
  <property fmtid="{D5CDD505-2E9C-101B-9397-08002B2CF9AE}" pid="4" name="Sprachen">
    <vt:lpwstr>277;#DE|c995c48f-1dd5-4fb9-be90-92eb49f7020f</vt:lpwstr>
  </property>
  <property fmtid="{D5CDD505-2E9C-101B-9397-08002B2CF9AE}" pid="5" name="Document State">
    <vt:lpwstr>293;#Released|fe6487bf-72e8-4e1b-86f0-b6dc30eea096</vt:lpwstr>
  </property>
  <property fmtid="{D5CDD505-2E9C-101B-9397-08002B2CF9AE}" pid="6" name="TaxKeyword">
    <vt:lpwstr/>
  </property>
  <property fmtid="{D5CDD505-2E9C-101B-9397-08002B2CF9AE}" pid="7" name="Device Type">
    <vt:lpwstr>660;#isoMED427P|1e62fe6d-b824-427b-ac49-5227ae61413d</vt:lpwstr>
  </property>
  <property fmtid="{D5CDD505-2E9C-101B-9397-08002B2CF9AE}" pid="8" name="ProdDLDocType">
    <vt:lpwstr>553;#Tender Texts|976a70db-3b96-4019-aba1-d7f5c1be9442</vt:lpwstr>
  </property>
  <property fmtid="{D5CDD505-2E9C-101B-9397-08002B2CF9AE}" pid="9" name="Order">
    <vt:r8>31800</vt:r8>
  </property>
</Properties>
</file>